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9E" w:rsidRPr="007D03A0" w:rsidRDefault="0044429E" w:rsidP="0044429E">
      <w:pPr>
        <w:spacing w:after="0" w:line="240" w:lineRule="auto"/>
        <w:jc w:val="both"/>
        <w:rPr>
          <w:rFonts w:ascii="Arial Narrow" w:hAnsi="Arial Narrow" w:cs="Arial Narrow"/>
          <w:b/>
          <w:bCs/>
        </w:rPr>
      </w:pPr>
      <w:r w:rsidRPr="007D03A0">
        <w:rPr>
          <w:rFonts w:ascii="Arial Narrow" w:hAnsi="Arial Narrow" w:cs="Arial Narrow"/>
          <w:b/>
          <w:bCs/>
        </w:rPr>
        <w:t>AUDYT ZEWNĘTRZNY.</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1) 7 marca 2013 r. - podpisanie umowy z audytorem na wykonanie audytu zewnętrznego OSIR.</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2) 14 marca 2013 r. – odstąpienie audytora od umowy z przyczyn osobistych.</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3) 18 marca 2013 r. – podpisanie kolejnej umowy z audytorem, rozpoczęcie prac nad audytem zewnętrznym.</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4) 18 kwietnia 2013 r. – podpisanie aneksu z audytorem, w którym zwiększono zakres audytu zewnętrznego.</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5) 27 maja 2013 r. – termin wpływu raportu z audytu zewnętrznego do Urzędu Miejskiego w Świdnicy.  </w:t>
      </w:r>
    </w:p>
    <w:p w:rsidR="0044429E" w:rsidRDefault="0044429E" w:rsidP="0044429E">
      <w:pPr>
        <w:spacing w:after="0" w:line="240" w:lineRule="auto"/>
        <w:jc w:val="both"/>
        <w:rPr>
          <w:rFonts w:ascii="Arial Narrow" w:hAnsi="Arial Narrow" w:cs="Arial Narrow"/>
        </w:rPr>
      </w:pPr>
    </w:p>
    <w:p w:rsidR="0044429E" w:rsidRPr="00BC654B" w:rsidRDefault="0044429E" w:rsidP="0044429E">
      <w:pPr>
        <w:spacing w:after="0"/>
        <w:jc w:val="both"/>
        <w:rPr>
          <w:rFonts w:ascii="Arial Narrow" w:hAnsi="Arial Narrow" w:cs="Arial Narrow"/>
        </w:rPr>
      </w:pPr>
      <w:r>
        <w:rPr>
          <w:rFonts w:ascii="Arial Narrow" w:hAnsi="Arial Narrow" w:cs="Arial Narrow"/>
        </w:rPr>
        <w:t xml:space="preserve">Raport z niezależnego audytu zewnętrznego w Świdnickim Ośrodku Sportu i Rekreacji, zrealizowanego przez firmę OTREK  Europejskie Centrum Rozwoju Biznesu Sp. z o.o. potwierdził uwagi przedstawione w protokole kontroli doraźnej, przeprowadzonej przez Inspektora Wydziału Kontroli Urzędu Miejskiego w Świdnicy w terminie od 26 listopada do 14 grudnia 2012 r. jednocześnie wskazując na inne zjawiska w funkcjonowaniu </w:t>
      </w:r>
      <w:proofErr w:type="spellStart"/>
      <w:r>
        <w:rPr>
          <w:rFonts w:ascii="Arial Narrow" w:hAnsi="Arial Narrow" w:cs="Arial Narrow"/>
        </w:rPr>
        <w:t>OSiR</w:t>
      </w:r>
      <w:proofErr w:type="spellEnd"/>
      <w:r>
        <w:rPr>
          <w:rFonts w:ascii="Arial Narrow" w:hAnsi="Arial Narrow" w:cs="Arial Narrow"/>
        </w:rPr>
        <w:t xml:space="preserve"> w badanym okresie:</w:t>
      </w:r>
    </w:p>
    <w:p w:rsidR="0044429E" w:rsidRDefault="0044429E" w:rsidP="0044429E">
      <w:pPr>
        <w:spacing w:after="0" w:line="240" w:lineRule="auto"/>
        <w:jc w:val="both"/>
        <w:rPr>
          <w:rFonts w:ascii="Arial Narrow" w:hAnsi="Arial Narrow" w:cs="Arial Narrow"/>
          <w:b/>
          <w:bCs/>
        </w:rPr>
      </w:pPr>
    </w:p>
    <w:p w:rsidR="0044429E" w:rsidRPr="009E3A0A" w:rsidRDefault="0044429E" w:rsidP="0044429E">
      <w:pPr>
        <w:spacing w:after="0" w:line="240" w:lineRule="auto"/>
        <w:jc w:val="both"/>
        <w:rPr>
          <w:rFonts w:ascii="Arial Narrow" w:hAnsi="Arial Narrow" w:cs="Arial Narrow"/>
          <w:u w:val="single"/>
        </w:rPr>
      </w:pPr>
      <w:r w:rsidRPr="009E3A0A">
        <w:rPr>
          <w:rFonts w:ascii="Arial Narrow" w:hAnsi="Arial Narrow" w:cs="Arial Narrow"/>
          <w:u w:val="single"/>
        </w:rPr>
        <w:t xml:space="preserve">I. Brak wdrażania systemów motywujących do zwiększenia przychodów </w:t>
      </w:r>
      <w:proofErr w:type="spellStart"/>
      <w:r w:rsidRPr="009E3A0A">
        <w:rPr>
          <w:rFonts w:ascii="Arial Narrow" w:hAnsi="Arial Narrow" w:cs="Arial Narrow"/>
          <w:u w:val="single"/>
        </w:rPr>
        <w:t>OSiR</w:t>
      </w:r>
      <w:proofErr w:type="spellEnd"/>
      <w:r w:rsidRPr="009E3A0A">
        <w:rPr>
          <w:rFonts w:ascii="Arial Narrow" w:hAnsi="Arial Narrow" w:cs="Arial Narrow"/>
          <w:u w:val="single"/>
        </w:rPr>
        <w:t>, skutkujących trwałą nierentownością obiektów - bardzo niska efektywność gospodarowania we wszystkich zarządzanych obiektach.</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Przykłady opisane w Raporcie, m.in.:</w:t>
      </w:r>
    </w:p>
    <w:p w:rsidR="0044429E" w:rsidRDefault="0044429E" w:rsidP="0044429E">
      <w:pPr>
        <w:spacing w:after="0" w:line="240" w:lineRule="auto"/>
        <w:jc w:val="both"/>
        <w:rPr>
          <w:rFonts w:ascii="Arial Narrow" w:hAnsi="Arial Narrow" w:cs="Arial Narrow"/>
        </w:rPr>
      </w:pPr>
      <w:r>
        <w:rPr>
          <w:rFonts w:ascii="Arial Narrow" w:hAnsi="Arial Narrow" w:cs="Arial Narrow"/>
        </w:rPr>
        <w:t>1) Dom Wycieczkowy – wykorzystanie miejsc noclegowych na poziomie 24% w badanym okresie, znacznie poniżej średniej dla Dolnego Śląska (35%) i całej Polski (31%).</w:t>
      </w:r>
    </w:p>
    <w:p w:rsidR="0044429E" w:rsidRDefault="0044429E" w:rsidP="0044429E">
      <w:pPr>
        <w:spacing w:after="0" w:line="240" w:lineRule="auto"/>
        <w:jc w:val="both"/>
        <w:rPr>
          <w:rFonts w:ascii="Arial Narrow" w:hAnsi="Arial Narrow" w:cs="Arial Narrow"/>
        </w:rPr>
      </w:pPr>
      <w:r>
        <w:rPr>
          <w:rFonts w:ascii="Arial Narrow" w:hAnsi="Arial Narrow" w:cs="Arial Narrow"/>
        </w:rPr>
        <w:t>2) Hala sportowa przy ul. Pionierów Ziemi Świdnickiej i hala sportowa na osiedlu Zawiszów – niewykorzystanie możliwości wynajmów komercyjnych, przy czym w przypadku hali „Pionierów” niewykorzystany potencjał w badanym okresie szacowany jest na 67%, a komercyjne wykorzystywanie siłowni i sali judo na os. Zawiszów to odpowiednio 1 i 2,5 godziny tygodniowo.</w:t>
      </w:r>
    </w:p>
    <w:p w:rsidR="0044429E" w:rsidRDefault="0044429E" w:rsidP="0044429E">
      <w:pPr>
        <w:spacing w:after="0" w:line="240" w:lineRule="auto"/>
        <w:jc w:val="both"/>
        <w:rPr>
          <w:rFonts w:ascii="Arial Narrow" w:hAnsi="Arial Narrow" w:cs="Arial Narrow"/>
        </w:rPr>
      </w:pPr>
      <w:r>
        <w:rPr>
          <w:rFonts w:ascii="Arial Narrow" w:hAnsi="Arial Narrow" w:cs="Arial Narrow"/>
        </w:rPr>
        <w:t>3) Wykorzystanie płyty stadionu średnio 7 godzin w tygodniu, a w przypadku lepiej wykorzystanych boisk bocznych od 15% do 33% potencjału obiektów.</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Opinia zlecającego Raport:</w:t>
      </w:r>
    </w:p>
    <w:p w:rsidR="0044429E" w:rsidRPr="009B5314" w:rsidRDefault="0044429E" w:rsidP="0044429E">
      <w:pPr>
        <w:spacing w:after="0" w:line="240" w:lineRule="auto"/>
        <w:jc w:val="both"/>
        <w:rPr>
          <w:rFonts w:ascii="Arial Narrow" w:hAnsi="Arial Narrow" w:cs="Arial Narrow"/>
        </w:rPr>
      </w:pPr>
      <w:r>
        <w:rPr>
          <w:rFonts w:ascii="Arial Narrow" w:hAnsi="Arial Narrow" w:cs="Arial Narrow"/>
        </w:rPr>
        <w:t xml:space="preserve">Ocenić należy, że mimo wprowadzenia obowiązku odpłatności za obiekty sportowe wszystkich podmiotów, a tym samym racjonalizacji wykorzystania obiektów przez kluby sportowe oraz likwidacji zjawiska tzw. „wirtualnych” przychodów od niepobranych płatności, w badanym okresie nie nastąpiły żadne zmiany, świadczące o działaniach </w:t>
      </w:r>
      <w:proofErr w:type="spellStart"/>
      <w:r>
        <w:rPr>
          <w:rFonts w:ascii="Arial Narrow" w:hAnsi="Arial Narrow" w:cs="Arial Narrow"/>
        </w:rPr>
        <w:t>OSiR</w:t>
      </w:r>
      <w:proofErr w:type="spellEnd"/>
      <w:r>
        <w:rPr>
          <w:rFonts w:ascii="Arial Narrow" w:hAnsi="Arial Narrow" w:cs="Arial Narrow"/>
        </w:rPr>
        <w:t xml:space="preserve"> na rzecz zwiększenia przychodów, zarówno w obszarze marketingu, jak i przygotowywania jakiegokolwiek systemu motywującego.</w:t>
      </w:r>
    </w:p>
    <w:p w:rsidR="0044429E" w:rsidRDefault="0044429E" w:rsidP="0044429E">
      <w:pPr>
        <w:spacing w:after="0" w:line="240" w:lineRule="auto"/>
        <w:jc w:val="both"/>
        <w:rPr>
          <w:rFonts w:ascii="Arial Narrow" w:hAnsi="Arial Narrow" w:cs="Arial Narrow"/>
          <w:b/>
          <w:bCs/>
        </w:rPr>
      </w:pPr>
    </w:p>
    <w:p w:rsidR="0044429E" w:rsidRPr="009E3A0A" w:rsidRDefault="0044429E" w:rsidP="0044429E">
      <w:pPr>
        <w:spacing w:after="0" w:line="240" w:lineRule="auto"/>
        <w:jc w:val="both"/>
        <w:rPr>
          <w:rFonts w:ascii="Arial Narrow" w:hAnsi="Arial Narrow" w:cs="Arial Narrow"/>
          <w:u w:val="single"/>
        </w:rPr>
      </w:pPr>
      <w:r w:rsidRPr="009E3A0A">
        <w:rPr>
          <w:rFonts w:ascii="Arial Narrow" w:hAnsi="Arial Narrow" w:cs="Arial Narrow"/>
          <w:u w:val="single"/>
        </w:rPr>
        <w:t>II. Gospodarowanie lokalami użytkowym</w:t>
      </w:r>
      <w:r>
        <w:rPr>
          <w:rFonts w:ascii="Arial Narrow" w:hAnsi="Arial Narrow" w:cs="Arial Narrow"/>
          <w:u w:val="single"/>
        </w:rPr>
        <w:t xml:space="preserve">i - utrzymywanie niekorzystnych </w:t>
      </w:r>
      <w:r w:rsidRPr="009E3A0A">
        <w:rPr>
          <w:rFonts w:ascii="Arial Narrow" w:hAnsi="Arial Narrow" w:cs="Arial Narrow"/>
          <w:u w:val="single"/>
        </w:rPr>
        <w:t>umów najmu lokali.</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Przykłady opisane w Raporcie, m.in.:</w:t>
      </w:r>
    </w:p>
    <w:p w:rsidR="0044429E" w:rsidRDefault="0044429E" w:rsidP="0044429E">
      <w:pPr>
        <w:spacing w:after="0" w:line="240" w:lineRule="auto"/>
        <w:jc w:val="both"/>
        <w:rPr>
          <w:rFonts w:ascii="Arial Narrow" w:hAnsi="Arial Narrow" w:cs="Arial Narrow"/>
        </w:rPr>
      </w:pPr>
      <w:r>
        <w:rPr>
          <w:rFonts w:ascii="Arial Narrow" w:hAnsi="Arial Narrow" w:cs="Arial Narrow"/>
        </w:rPr>
        <w:t>1) Lokal użytkowy przeznaczony na gabinet lekarski na terenie basenu krytego, za który od początku najmu najemca płacił jedynie należny podatek VAT bez żadnej kwoty najmu,</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2) Lokal użytkowy przeznaczony na gabinet rehabilitacyjny na terenie basenu krytego, za który od początku najmu najemca płacił kwoty nie uwzględniające opłacanego przez </w:t>
      </w:r>
      <w:proofErr w:type="spellStart"/>
      <w:r>
        <w:rPr>
          <w:rFonts w:ascii="Arial Narrow" w:hAnsi="Arial Narrow" w:cs="Arial Narrow"/>
        </w:rPr>
        <w:t>OSiR</w:t>
      </w:r>
      <w:proofErr w:type="spellEnd"/>
      <w:r>
        <w:rPr>
          <w:rFonts w:ascii="Arial Narrow" w:hAnsi="Arial Narrow" w:cs="Arial Narrow"/>
        </w:rPr>
        <w:t xml:space="preserve"> podatku od nieruchomości,</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Opinia zlecającego Raport:</w:t>
      </w:r>
    </w:p>
    <w:p w:rsidR="0044429E" w:rsidRDefault="0044429E" w:rsidP="0044429E">
      <w:pPr>
        <w:spacing w:after="0" w:line="240" w:lineRule="auto"/>
        <w:jc w:val="both"/>
        <w:rPr>
          <w:rFonts w:ascii="Arial Narrow" w:hAnsi="Arial Narrow" w:cs="Arial Narrow"/>
        </w:rPr>
      </w:pPr>
      <w:r>
        <w:rPr>
          <w:rFonts w:ascii="Arial Narrow" w:hAnsi="Arial Narrow" w:cs="Arial Narrow"/>
        </w:rPr>
        <w:t>Brak jednolitych reguł najmu lub dzierżawy lokali użytkowych oraz brak należytej kontroli ze strony kierującego jednostką skutkuje wieloletnim chaosem w kwestii stawek najmu jak i przypisywania należnych podatków oraz właściwie prowadzonego monitoringu realizacji dotychczasowych umów i wynikających z nich zaległości.</w:t>
      </w:r>
    </w:p>
    <w:p w:rsidR="0044429E" w:rsidRDefault="0044429E" w:rsidP="0044429E">
      <w:pPr>
        <w:spacing w:after="0" w:line="240" w:lineRule="auto"/>
        <w:jc w:val="both"/>
        <w:rPr>
          <w:rFonts w:ascii="Arial Narrow" w:hAnsi="Arial Narrow" w:cs="Arial Narrow"/>
        </w:rPr>
      </w:pPr>
    </w:p>
    <w:p w:rsidR="0044429E" w:rsidRPr="009E3A0A" w:rsidRDefault="0044429E" w:rsidP="0044429E">
      <w:pPr>
        <w:spacing w:after="0" w:line="240" w:lineRule="auto"/>
        <w:jc w:val="both"/>
        <w:rPr>
          <w:rFonts w:ascii="Arial Narrow" w:hAnsi="Arial Narrow" w:cs="Arial Narrow"/>
          <w:u w:val="single"/>
        </w:rPr>
      </w:pPr>
      <w:r w:rsidRPr="009E3A0A">
        <w:rPr>
          <w:rFonts w:ascii="Arial Narrow" w:hAnsi="Arial Narrow" w:cs="Arial Narrow"/>
          <w:u w:val="single"/>
        </w:rPr>
        <w:t xml:space="preserve">III. Niedopasowanie zatrudnienia w </w:t>
      </w:r>
      <w:proofErr w:type="spellStart"/>
      <w:r w:rsidRPr="009E3A0A">
        <w:rPr>
          <w:rFonts w:ascii="Arial Narrow" w:hAnsi="Arial Narrow" w:cs="Arial Narrow"/>
          <w:u w:val="single"/>
        </w:rPr>
        <w:t>OSiR</w:t>
      </w:r>
      <w:proofErr w:type="spellEnd"/>
      <w:r w:rsidRPr="009E3A0A">
        <w:rPr>
          <w:rFonts w:ascii="Arial Narrow" w:hAnsi="Arial Narrow" w:cs="Arial Narrow"/>
          <w:u w:val="single"/>
        </w:rPr>
        <w:t xml:space="preserve"> do rzeczywistych potrzeb. Nieuzasadnione przydzielanie świadczeń.</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Przykłady opisane w Raporcie, m.in.:</w:t>
      </w:r>
    </w:p>
    <w:p w:rsidR="0044429E" w:rsidRPr="009321F9" w:rsidRDefault="0044429E" w:rsidP="0044429E">
      <w:pPr>
        <w:spacing w:after="0" w:line="240" w:lineRule="auto"/>
        <w:jc w:val="both"/>
        <w:rPr>
          <w:rFonts w:ascii="Arial Narrow" w:hAnsi="Arial Narrow" w:cs="Arial Narrow"/>
        </w:rPr>
      </w:pPr>
      <w:r w:rsidRPr="009321F9">
        <w:rPr>
          <w:rFonts w:ascii="Arial Narrow" w:hAnsi="Arial Narrow" w:cs="Arial Narrow"/>
        </w:rPr>
        <w:lastRenderedPageBreak/>
        <w:t>1) Nieefektywne wykorzystanie posiadanego potencjału pracowników, w tym sztywny regulamin organizacyjny wymuszający dublowanie stanowisk, jak i konieczność zawierania umów – zleceń na czynności uzupełniające (m.in. na wykonywanie prac związanych z obsługą lodowiska 3 pracowników etatowych zawarło z OSIR w latach 2011 – 2012 11 umów zleceń),</w:t>
      </w:r>
    </w:p>
    <w:p w:rsidR="0044429E" w:rsidRDefault="0044429E" w:rsidP="0044429E">
      <w:pPr>
        <w:spacing w:after="0" w:line="240" w:lineRule="auto"/>
        <w:jc w:val="both"/>
        <w:rPr>
          <w:rFonts w:ascii="Arial Narrow" w:hAnsi="Arial Narrow" w:cs="Arial Narrow"/>
        </w:rPr>
      </w:pPr>
      <w:r>
        <w:rPr>
          <w:rFonts w:ascii="Arial Narrow" w:hAnsi="Arial Narrow" w:cs="Arial Narrow"/>
        </w:rPr>
        <w:t>2) Ryczałty na prywatne samochody dla pracowników administracji (m.in. 4 pracowników administracyjnych posiada ryczałt miesięczny po 300 km)</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Opinia zlecającego Raport:</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W badanym okresie w </w:t>
      </w:r>
      <w:proofErr w:type="spellStart"/>
      <w:r>
        <w:rPr>
          <w:rFonts w:ascii="Arial Narrow" w:hAnsi="Arial Narrow" w:cs="Arial Narrow"/>
        </w:rPr>
        <w:t>OSiR</w:t>
      </w:r>
      <w:proofErr w:type="spellEnd"/>
      <w:r>
        <w:rPr>
          <w:rFonts w:ascii="Arial Narrow" w:hAnsi="Arial Narrow" w:cs="Arial Narrow"/>
        </w:rPr>
        <w:t xml:space="preserve"> nie podejmowano żadnych działań, które mogłyby skutkować zmniejszeniem kosztów własnych jednostki poprzez racjonalizację zatrudnienia, uelastycznienie regulaminu organizacyjnego oraz analizę celowości realizacji świadczeń pracowniczych. Wyjątkiem jest outsourcing na usługi ratownicze, zrealizowany przez kierującego </w:t>
      </w:r>
      <w:proofErr w:type="spellStart"/>
      <w:r>
        <w:rPr>
          <w:rFonts w:ascii="Arial Narrow" w:hAnsi="Arial Narrow" w:cs="Arial Narrow"/>
        </w:rPr>
        <w:t>OSiR</w:t>
      </w:r>
      <w:proofErr w:type="spellEnd"/>
      <w:r>
        <w:rPr>
          <w:rFonts w:ascii="Arial Narrow" w:hAnsi="Arial Narrow" w:cs="Arial Narrow"/>
        </w:rPr>
        <w:t xml:space="preserve">, głównie w celu rozstania się z dotychczasowymi ratownikami, przy czym analiza dokumentacji formalno – prawnej w tej sprawie nie daje gwarancji, że firma realizująca usługi ratownicze w latach 2009 – 2012 była wybrana w sposób optymalny.  </w:t>
      </w:r>
    </w:p>
    <w:p w:rsidR="0044429E" w:rsidRDefault="0044429E" w:rsidP="0044429E">
      <w:pPr>
        <w:spacing w:after="0" w:line="240" w:lineRule="auto"/>
        <w:jc w:val="both"/>
        <w:rPr>
          <w:rFonts w:ascii="Arial Narrow" w:hAnsi="Arial Narrow" w:cs="Arial Narrow"/>
        </w:rPr>
      </w:pPr>
    </w:p>
    <w:p w:rsidR="0044429E" w:rsidRPr="009E3A0A" w:rsidRDefault="0044429E" w:rsidP="0044429E">
      <w:pPr>
        <w:spacing w:after="0" w:line="240" w:lineRule="auto"/>
        <w:jc w:val="both"/>
        <w:rPr>
          <w:rFonts w:ascii="Arial Narrow" w:hAnsi="Arial Narrow" w:cs="Arial Narrow"/>
          <w:u w:val="single"/>
        </w:rPr>
      </w:pPr>
      <w:r w:rsidRPr="009E3A0A">
        <w:rPr>
          <w:rFonts w:ascii="Arial Narrow" w:hAnsi="Arial Narrow" w:cs="Arial Narrow"/>
          <w:u w:val="single"/>
        </w:rPr>
        <w:t xml:space="preserve">IV. Nieprzestrzeganie regulaminów wewnętrznych, brak </w:t>
      </w:r>
      <w:r>
        <w:rPr>
          <w:rFonts w:ascii="Arial Narrow" w:hAnsi="Arial Narrow" w:cs="Arial Narrow"/>
          <w:u w:val="single"/>
        </w:rPr>
        <w:t>wiedzy o ich istnieniu</w:t>
      </w:r>
      <w:r w:rsidRPr="009E3A0A">
        <w:rPr>
          <w:rFonts w:ascii="Arial Narrow" w:hAnsi="Arial Narrow" w:cs="Arial Narrow"/>
          <w:u w:val="single"/>
        </w:rPr>
        <w:t xml:space="preserve"> </w:t>
      </w:r>
      <w:r>
        <w:rPr>
          <w:rFonts w:ascii="Arial Narrow" w:hAnsi="Arial Narrow" w:cs="Arial Narrow"/>
          <w:u w:val="single"/>
        </w:rPr>
        <w:t>wśród</w:t>
      </w:r>
      <w:r w:rsidRPr="009E3A0A">
        <w:rPr>
          <w:rFonts w:ascii="Arial Narrow" w:hAnsi="Arial Narrow" w:cs="Arial Narrow"/>
          <w:u w:val="single"/>
        </w:rPr>
        <w:t xml:space="preserve"> pracowników, brak stosownych instrukcji / regulaminów wewnętrznych, nieprawidłowości wynikające z prowadzonej dokumentacji formalno – prawnej.</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Przykłady opisane w Raporcie, m.in.:</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1) Brak kontrasygnaty Głównej Księgowej na wielu dokumentach stanowiących zobowiązania pieniężne, mimo zobligowania do kontrasygnaty ustawą o samorządzie gminnym i ustawą o finansach publicznych oraz poleceń Skarbnika Miasta, </w:t>
      </w:r>
    </w:p>
    <w:p w:rsidR="0044429E" w:rsidRDefault="0044429E" w:rsidP="0044429E">
      <w:pPr>
        <w:spacing w:after="0" w:line="240" w:lineRule="auto"/>
        <w:jc w:val="both"/>
        <w:rPr>
          <w:rFonts w:ascii="Arial Narrow" w:hAnsi="Arial Narrow" w:cs="Arial Narrow"/>
        </w:rPr>
      </w:pPr>
      <w:r>
        <w:rPr>
          <w:rFonts w:ascii="Arial Narrow" w:hAnsi="Arial Narrow" w:cs="Arial Narrow"/>
        </w:rPr>
        <w:t>2) Braki kolejności w numeracji umów jak i w zakresie dat trwania umów cywilno – prawnych (mogący skutkować chaosem, jak w przypadku aneksów do umów na obsługę basenową),</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3) Brak uregulowań w przepisach wewnętrznych </w:t>
      </w:r>
      <w:proofErr w:type="spellStart"/>
      <w:r>
        <w:rPr>
          <w:rFonts w:ascii="Arial Narrow" w:hAnsi="Arial Narrow" w:cs="Arial Narrow"/>
        </w:rPr>
        <w:t>OSiR</w:t>
      </w:r>
      <w:proofErr w:type="spellEnd"/>
      <w:r>
        <w:rPr>
          <w:rFonts w:ascii="Arial Narrow" w:hAnsi="Arial Narrow" w:cs="Arial Narrow"/>
        </w:rPr>
        <w:t xml:space="preserve"> dotyczących druków ścisłego zarachowania,</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4) Efekt nieprzestrzegania instrukcji kasowej i braku należytej kontroli ze strony kierującego jednostką (wielodniowe kumulowanie środków finansowych w kasie </w:t>
      </w:r>
      <w:proofErr w:type="spellStart"/>
      <w:r>
        <w:rPr>
          <w:rFonts w:ascii="Arial Narrow" w:hAnsi="Arial Narrow" w:cs="Arial Narrow"/>
        </w:rPr>
        <w:t>OSiR</w:t>
      </w:r>
      <w:proofErr w:type="spellEnd"/>
      <w:r>
        <w:rPr>
          <w:rFonts w:ascii="Arial Narrow" w:hAnsi="Arial Narrow" w:cs="Arial Narrow"/>
        </w:rPr>
        <w:t xml:space="preserve"> (również ponad 50 tys. zł) bez przekazywania do banku, mimo braku odpowiednich pomieszczeń i zabezpieczeń jak i przy znanym z wielu tego typu kontrolowanych jednostek niebezpieczeństwie niezgodnych z prawem pożyczek pracowniczych).</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 </w:t>
      </w:r>
    </w:p>
    <w:p w:rsidR="0044429E" w:rsidRDefault="0044429E" w:rsidP="0044429E">
      <w:pPr>
        <w:spacing w:after="0" w:line="240" w:lineRule="auto"/>
        <w:jc w:val="both"/>
        <w:rPr>
          <w:rFonts w:ascii="Arial Narrow" w:hAnsi="Arial Narrow" w:cs="Arial Narrow"/>
        </w:rPr>
      </w:pPr>
      <w:r>
        <w:rPr>
          <w:rFonts w:ascii="Arial Narrow" w:hAnsi="Arial Narrow" w:cs="Arial Narrow"/>
        </w:rPr>
        <w:t>Opinia zlecającego Raport:</w:t>
      </w:r>
    </w:p>
    <w:p w:rsidR="0044429E" w:rsidRDefault="0044429E" w:rsidP="0044429E">
      <w:pPr>
        <w:spacing w:after="0" w:line="240" w:lineRule="auto"/>
        <w:jc w:val="both"/>
        <w:rPr>
          <w:rFonts w:ascii="Arial Narrow" w:hAnsi="Arial Narrow" w:cs="Arial Narrow"/>
        </w:rPr>
      </w:pPr>
      <w:r>
        <w:rPr>
          <w:rFonts w:ascii="Arial Narrow" w:hAnsi="Arial Narrow" w:cs="Arial Narrow"/>
        </w:rPr>
        <w:t>Nieprawidłowości wykazane w Raporcie świadczą o niewłaściwym nadzorze kierującego jednostką, także o nieprzestrzeganiu zarówno przepisów nadrzędnych, jak i wewnętrznych regulaminów jednostki.</w:t>
      </w:r>
    </w:p>
    <w:p w:rsidR="0044429E" w:rsidRDefault="0044429E" w:rsidP="0044429E">
      <w:pPr>
        <w:spacing w:after="0" w:line="240" w:lineRule="auto"/>
        <w:jc w:val="both"/>
        <w:rPr>
          <w:rFonts w:ascii="Arial Narrow" w:hAnsi="Arial Narrow" w:cs="Arial Narrow"/>
        </w:rPr>
      </w:pPr>
    </w:p>
    <w:p w:rsidR="0044429E" w:rsidRPr="009E3A0A" w:rsidRDefault="0044429E" w:rsidP="0044429E">
      <w:pPr>
        <w:spacing w:after="0" w:line="240" w:lineRule="auto"/>
        <w:jc w:val="both"/>
        <w:rPr>
          <w:rFonts w:ascii="Arial Narrow" w:hAnsi="Arial Narrow" w:cs="Arial Narrow"/>
          <w:u w:val="single"/>
        </w:rPr>
      </w:pPr>
      <w:r w:rsidRPr="009E3A0A">
        <w:rPr>
          <w:rFonts w:ascii="Arial Narrow" w:hAnsi="Arial Narrow" w:cs="Arial Narrow"/>
          <w:u w:val="single"/>
        </w:rPr>
        <w:t xml:space="preserve">V. Niejasności w stosowaniu procedur </w:t>
      </w:r>
      <w:r>
        <w:rPr>
          <w:rFonts w:ascii="Arial Narrow" w:hAnsi="Arial Narrow" w:cs="Arial Narrow"/>
          <w:u w:val="single"/>
        </w:rPr>
        <w:t xml:space="preserve">wyboru najemców oraz </w:t>
      </w:r>
      <w:r w:rsidRPr="009E3A0A">
        <w:rPr>
          <w:rFonts w:ascii="Arial Narrow" w:hAnsi="Arial Narrow" w:cs="Arial Narrow"/>
          <w:u w:val="single"/>
        </w:rPr>
        <w:t>zamówień publicznych, w szczególności w zakresie zamówień „podprogowych”</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Przykłady opisane w Raporcie, m.in.:</w:t>
      </w:r>
    </w:p>
    <w:p w:rsidR="0044429E" w:rsidRDefault="0044429E" w:rsidP="0044429E">
      <w:pPr>
        <w:spacing w:after="0" w:line="240" w:lineRule="auto"/>
        <w:jc w:val="both"/>
        <w:rPr>
          <w:rFonts w:ascii="Arial Narrow" w:hAnsi="Arial Narrow" w:cs="Arial Narrow"/>
        </w:rPr>
      </w:pPr>
      <w:r>
        <w:rPr>
          <w:rFonts w:ascii="Arial Narrow" w:hAnsi="Arial Narrow" w:cs="Arial Narrow"/>
        </w:rPr>
        <w:t>1) Nieprzestrzeganie Regulaminu udzielania zamówień podprogowych poniżej 14.000 euro, mogące skutkować wyborem usługodawców droższych lub nie spełniających wymogów jakości usługi,</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2) W wielu przypadkach brak postępowań dotyczących zapytania ofertowego, m.in. brak dokumentów świadczących o jakichkolwiek ogłoszeniach prasowych lub ogłoszeniach w BIP jednostki (takie praktyki skutkowały zlecaniem prac lub usług bez zachowania zasady konkurencyjności – m.in. w usługach budowlanych i obsłudze basenu), </w:t>
      </w:r>
    </w:p>
    <w:p w:rsidR="0044429E" w:rsidRDefault="0044429E" w:rsidP="0044429E">
      <w:pPr>
        <w:spacing w:after="0" w:line="240" w:lineRule="auto"/>
        <w:jc w:val="both"/>
        <w:rPr>
          <w:rFonts w:ascii="Arial Narrow" w:hAnsi="Arial Narrow" w:cs="Arial Narrow"/>
        </w:rPr>
      </w:pPr>
      <w:r>
        <w:rPr>
          <w:rFonts w:ascii="Arial Narrow" w:hAnsi="Arial Narrow" w:cs="Arial Narrow"/>
        </w:rPr>
        <w:t>3) Niejasne reguły najmu lub dzierżaw, skutkujące znacznymi różnicami w stawkach najmu i dzierżawy (lokale użytkowe przeznaczone na gabinety rehabilitacyjne i lekarskie od 0 zł do 16 zł netto za 1 m2, lokale użytkowe przeznaczone na bary i kawiarnie przy ul. Śląskiej od 4,55 zł do 29 zł netto za 1 m2),</w:t>
      </w:r>
    </w:p>
    <w:p w:rsidR="0044429E" w:rsidRDefault="0044429E" w:rsidP="0044429E">
      <w:pPr>
        <w:spacing w:after="0" w:line="240" w:lineRule="auto"/>
        <w:jc w:val="both"/>
        <w:rPr>
          <w:rFonts w:ascii="Arial Narrow" w:hAnsi="Arial Narrow" w:cs="Arial Narrow"/>
        </w:rPr>
      </w:pPr>
      <w:r>
        <w:rPr>
          <w:rFonts w:ascii="Arial Narrow" w:hAnsi="Arial Narrow" w:cs="Arial Narrow"/>
        </w:rPr>
        <w:t>4) Braki formalne w dokumentacjach przetargowych, w tym braki podpisów członków komisji przetargowych lub kierującego jednostką,</w:t>
      </w:r>
    </w:p>
    <w:p w:rsidR="0044429E" w:rsidRDefault="0044429E" w:rsidP="0044429E">
      <w:pPr>
        <w:spacing w:after="0" w:line="240" w:lineRule="auto"/>
        <w:jc w:val="both"/>
        <w:rPr>
          <w:rFonts w:ascii="Arial Narrow" w:hAnsi="Arial Narrow" w:cs="Arial Narrow"/>
        </w:rPr>
      </w:pPr>
      <w:r>
        <w:rPr>
          <w:rFonts w:ascii="Arial Narrow" w:hAnsi="Arial Narrow" w:cs="Arial Narrow"/>
        </w:rPr>
        <w:t>5) Znamiona dzielenia zamówienia w odniesieniu do zlecanych usług, głównie usług budowlanych (zasadą w przepisach dotyczących zamówień publicznych jest wybór firmy na całość zadania, gdyż zadania cząstkowe po zsumowaniu mogą – i najczęściej są – droższe niż inwestycja realizowana w wyniku jednego postępowania przetargowego).</w:t>
      </w:r>
    </w:p>
    <w:p w:rsidR="0044429E" w:rsidRDefault="0044429E" w:rsidP="0044429E">
      <w:pPr>
        <w:spacing w:after="0" w:line="240" w:lineRule="auto"/>
        <w:jc w:val="both"/>
        <w:rPr>
          <w:rFonts w:ascii="Arial Narrow" w:hAnsi="Arial Narrow" w:cs="Arial Narrow"/>
        </w:rPr>
      </w:pPr>
    </w:p>
    <w:p w:rsidR="0044429E" w:rsidRPr="009321F9" w:rsidRDefault="0044429E" w:rsidP="0044429E">
      <w:pPr>
        <w:spacing w:after="0" w:line="240" w:lineRule="auto"/>
        <w:jc w:val="both"/>
        <w:rPr>
          <w:rFonts w:ascii="Arial Narrow" w:hAnsi="Arial Narrow" w:cs="Arial Narrow"/>
        </w:rPr>
      </w:pPr>
      <w:r w:rsidRPr="009321F9">
        <w:rPr>
          <w:rFonts w:ascii="Arial Narrow" w:hAnsi="Arial Narrow" w:cs="Arial Narrow"/>
        </w:rPr>
        <w:lastRenderedPageBreak/>
        <w:t>Opinia zlecającego Raport:</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Nieprzestrzeganie Regulaminu udzielania zamówień podprogowych mogło prowadzić do poważnych skutków finansowych dla jednostki. Widoczny jest w tym względzie brak dbałości i właściwego nadzoru przez kierującego </w:t>
      </w:r>
      <w:proofErr w:type="spellStart"/>
      <w:r>
        <w:rPr>
          <w:rFonts w:ascii="Arial Narrow" w:hAnsi="Arial Narrow" w:cs="Arial Narrow"/>
        </w:rPr>
        <w:t>OSiR</w:t>
      </w:r>
      <w:proofErr w:type="spellEnd"/>
      <w:r>
        <w:rPr>
          <w:rFonts w:ascii="Arial Narrow" w:hAnsi="Arial Narrow" w:cs="Arial Narrow"/>
        </w:rPr>
        <w:t>.</w:t>
      </w:r>
    </w:p>
    <w:p w:rsidR="0044429E" w:rsidRDefault="0044429E" w:rsidP="0044429E">
      <w:pPr>
        <w:spacing w:after="0" w:line="240" w:lineRule="auto"/>
        <w:jc w:val="both"/>
        <w:rPr>
          <w:rFonts w:ascii="Arial Narrow" w:hAnsi="Arial Narrow" w:cs="Arial Narrow"/>
        </w:rPr>
      </w:pPr>
    </w:p>
    <w:p w:rsidR="0044429E" w:rsidRPr="007D03A0" w:rsidRDefault="0044429E" w:rsidP="0044429E">
      <w:pPr>
        <w:spacing w:after="0" w:line="240" w:lineRule="auto"/>
        <w:jc w:val="both"/>
        <w:rPr>
          <w:rFonts w:ascii="Arial Narrow" w:hAnsi="Arial Narrow" w:cs="Arial Narrow"/>
          <w:b/>
          <w:bCs/>
        </w:rPr>
      </w:pPr>
      <w:r>
        <w:rPr>
          <w:rFonts w:ascii="Arial Narrow" w:hAnsi="Arial Narrow" w:cs="Arial Narrow"/>
          <w:b/>
          <w:bCs/>
        </w:rPr>
        <w:t>PRZYKŁAD SKUMULOWANIA NIEPRAWIDŁOWOŚCI W JEDNOSTCE – PRZETARGI NA ŚWIADCZENIE USŁUG OBSŁUGI RATOWNICZEJ.</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Przykłady opisane w Raporcie z audytu, w Protokole kontroli doraźnej i na podstawie wyjaśnień </w:t>
      </w:r>
      <w:proofErr w:type="spellStart"/>
      <w:r>
        <w:rPr>
          <w:rFonts w:ascii="Arial Narrow" w:hAnsi="Arial Narrow" w:cs="Arial Narrow"/>
        </w:rPr>
        <w:t>OSiR</w:t>
      </w:r>
      <w:proofErr w:type="spellEnd"/>
      <w:r>
        <w:rPr>
          <w:rFonts w:ascii="Arial Narrow" w:hAnsi="Arial Narrow" w:cs="Arial Narrow"/>
        </w:rPr>
        <w:t>:</w:t>
      </w:r>
    </w:p>
    <w:p w:rsidR="0044429E" w:rsidRDefault="0044429E" w:rsidP="0044429E">
      <w:pPr>
        <w:spacing w:after="0" w:line="240" w:lineRule="auto"/>
        <w:jc w:val="both"/>
        <w:rPr>
          <w:rFonts w:ascii="Arial Narrow" w:hAnsi="Arial Narrow" w:cs="Arial Narrow"/>
        </w:rPr>
      </w:pPr>
      <w:r>
        <w:rPr>
          <w:rFonts w:ascii="Arial Narrow" w:hAnsi="Arial Narrow" w:cs="Arial Narrow"/>
        </w:rPr>
        <w:t>1) braki podpisów członków komisji lub/i dyrektora jednostki na protokołach z przetargów,</w:t>
      </w:r>
    </w:p>
    <w:p w:rsidR="0044429E" w:rsidRDefault="0044429E" w:rsidP="0044429E">
      <w:pPr>
        <w:spacing w:after="0" w:line="240" w:lineRule="auto"/>
        <w:jc w:val="both"/>
        <w:rPr>
          <w:rFonts w:ascii="Arial Narrow" w:hAnsi="Arial Narrow" w:cs="Arial Narrow"/>
        </w:rPr>
      </w:pPr>
      <w:r>
        <w:rPr>
          <w:rFonts w:ascii="Arial Narrow" w:hAnsi="Arial Narrow" w:cs="Arial Narrow"/>
        </w:rPr>
        <w:t>2) chaos w dokumentacji, w tym przypadkowe numery aneksów do zawartych umów,</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3) umieszczenie w umowach na wykonywanie usług ratowniczych na terenie kąpieliska </w:t>
      </w:r>
      <w:proofErr w:type="spellStart"/>
      <w:r>
        <w:rPr>
          <w:rFonts w:ascii="Arial Narrow" w:hAnsi="Arial Narrow" w:cs="Arial Narrow"/>
        </w:rPr>
        <w:t>miejskiego</w:t>
      </w:r>
      <w:proofErr w:type="spellEnd"/>
      <w:r>
        <w:rPr>
          <w:rFonts w:ascii="Arial Narrow" w:hAnsi="Arial Narrow" w:cs="Arial Narrow"/>
        </w:rPr>
        <w:t xml:space="preserve"> zapisów niekorzystnych dla </w:t>
      </w:r>
      <w:proofErr w:type="spellStart"/>
      <w:r>
        <w:rPr>
          <w:rFonts w:ascii="Arial Narrow" w:hAnsi="Arial Narrow" w:cs="Arial Narrow"/>
        </w:rPr>
        <w:t>OSiR</w:t>
      </w:r>
      <w:proofErr w:type="spellEnd"/>
      <w:r>
        <w:rPr>
          <w:rFonts w:ascii="Arial Narrow" w:hAnsi="Arial Narrow" w:cs="Arial Narrow"/>
        </w:rPr>
        <w:t>, wg których zobowiązanie jednostki wobec firmy nie zależy od liczby przepracowanych roboczogodzin ani od rzeczywistego czasu funkcjonowania kąpieliska,</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4) podpisanie niekorzystnych dla </w:t>
      </w:r>
      <w:proofErr w:type="spellStart"/>
      <w:r>
        <w:rPr>
          <w:rFonts w:ascii="Arial Narrow" w:hAnsi="Arial Narrow" w:cs="Arial Narrow"/>
        </w:rPr>
        <w:t>OSiR</w:t>
      </w:r>
      <w:proofErr w:type="spellEnd"/>
      <w:r>
        <w:rPr>
          <w:rFonts w:ascii="Arial Narrow" w:hAnsi="Arial Narrow" w:cs="Arial Narrow"/>
        </w:rPr>
        <w:t xml:space="preserve"> aneksów do umów zawartych w wyniku postępowania przetargowego, w efekcie których kierujący jednostką naraził </w:t>
      </w:r>
      <w:proofErr w:type="spellStart"/>
      <w:r>
        <w:rPr>
          <w:rFonts w:ascii="Arial Narrow" w:hAnsi="Arial Narrow" w:cs="Arial Narrow"/>
        </w:rPr>
        <w:t>OSiR</w:t>
      </w:r>
      <w:proofErr w:type="spellEnd"/>
      <w:r>
        <w:rPr>
          <w:rFonts w:ascii="Arial Narrow" w:hAnsi="Arial Narrow" w:cs="Arial Narrow"/>
        </w:rPr>
        <w:t xml:space="preserve"> na straty poprzez: </w:t>
      </w:r>
    </w:p>
    <w:p w:rsidR="0044429E" w:rsidRPr="002D2BC0" w:rsidRDefault="0044429E" w:rsidP="0044429E">
      <w:pPr>
        <w:pStyle w:val="Akapitzlist"/>
        <w:numPr>
          <w:ilvl w:val="0"/>
          <w:numId w:val="1"/>
        </w:numPr>
        <w:spacing w:after="0" w:line="240" w:lineRule="auto"/>
        <w:jc w:val="both"/>
        <w:rPr>
          <w:rFonts w:ascii="Arial Narrow" w:hAnsi="Arial Narrow" w:cs="Arial Narrow"/>
        </w:rPr>
      </w:pPr>
      <w:r w:rsidRPr="002D2BC0">
        <w:rPr>
          <w:rFonts w:ascii="Arial Narrow" w:hAnsi="Arial Narrow" w:cs="Arial Narrow"/>
        </w:rPr>
        <w:t>wprowadzenie zapisu umożliwiającego pobieranie wynagrodzenia przez firmę w sytuacji zamknięcia pływalni. W okresie umownym zamknięcie pływalni miało miejsce w okresie 12 – 19 listopada 2011 r., za co firma otrzymała wynagrodzenie w kwocie 1.377 zł brutto</w:t>
      </w:r>
      <w:r>
        <w:rPr>
          <w:rFonts w:ascii="Arial Narrow" w:hAnsi="Arial Narrow" w:cs="Arial Narrow"/>
        </w:rPr>
        <w:t>,</w:t>
      </w:r>
    </w:p>
    <w:p w:rsidR="0044429E" w:rsidRPr="002D2BC0" w:rsidRDefault="0044429E" w:rsidP="0044429E">
      <w:pPr>
        <w:pStyle w:val="Akapitzlist"/>
        <w:numPr>
          <w:ilvl w:val="0"/>
          <w:numId w:val="1"/>
        </w:numPr>
        <w:spacing w:after="0" w:line="240" w:lineRule="auto"/>
        <w:jc w:val="both"/>
        <w:rPr>
          <w:rFonts w:ascii="Arial Narrow" w:hAnsi="Arial Narrow" w:cs="Arial Narrow"/>
        </w:rPr>
      </w:pPr>
      <w:r w:rsidRPr="002D2BC0">
        <w:rPr>
          <w:rFonts w:ascii="Arial Narrow" w:hAnsi="Arial Narrow" w:cs="Arial Narrow"/>
        </w:rPr>
        <w:t>podniesienie stawki netto roboczogodziny z 22,13 zł na 22,35 zł, za co firma od lutego 2011 r. do listopada 2012 r. otrzymała wynagrodzenie w kwocie 1.830,88 zł brutto</w:t>
      </w:r>
      <w:r>
        <w:rPr>
          <w:rFonts w:ascii="Arial Narrow" w:hAnsi="Arial Narrow" w:cs="Arial Narrow"/>
        </w:rPr>
        <w:t>,</w:t>
      </w:r>
    </w:p>
    <w:p w:rsidR="0044429E" w:rsidRDefault="0044429E" w:rsidP="0044429E">
      <w:pPr>
        <w:pStyle w:val="Akapitzlist"/>
        <w:numPr>
          <w:ilvl w:val="0"/>
          <w:numId w:val="1"/>
        </w:numPr>
        <w:spacing w:after="0" w:line="240" w:lineRule="auto"/>
        <w:jc w:val="both"/>
        <w:rPr>
          <w:rFonts w:ascii="Arial Narrow" w:hAnsi="Arial Narrow" w:cs="Arial Narrow"/>
        </w:rPr>
      </w:pPr>
      <w:r w:rsidRPr="002D2BC0">
        <w:rPr>
          <w:rFonts w:ascii="Arial Narrow" w:hAnsi="Arial Narrow" w:cs="Arial Narrow"/>
        </w:rPr>
        <w:t>przedłużenie umowy z zamkniętego okresu 3 lat (do 8 września 2012 r.) o kolejne dwa miesiące, do 8 listopada 2012 r.</w:t>
      </w:r>
    </w:p>
    <w:p w:rsidR="0044429E" w:rsidRDefault="0044429E" w:rsidP="0044429E">
      <w:pPr>
        <w:pStyle w:val="Akapitzlist"/>
        <w:spacing w:after="0" w:line="240" w:lineRule="auto"/>
        <w:ind w:left="0"/>
        <w:jc w:val="both"/>
        <w:rPr>
          <w:rFonts w:ascii="Arial Narrow" w:hAnsi="Arial Narrow" w:cs="Arial Narrow"/>
        </w:rPr>
      </w:pPr>
      <w:r>
        <w:rPr>
          <w:rFonts w:ascii="Arial Narrow" w:hAnsi="Arial Narrow" w:cs="Arial Narrow"/>
        </w:rPr>
        <w:t xml:space="preserve">5) działania kierującego </w:t>
      </w:r>
      <w:proofErr w:type="spellStart"/>
      <w:r>
        <w:rPr>
          <w:rFonts w:ascii="Arial Narrow" w:hAnsi="Arial Narrow" w:cs="Arial Narrow"/>
        </w:rPr>
        <w:t>OSiR</w:t>
      </w:r>
      <w:proofErr w:type="spellEnd"/>
      <w:r>
        <w:rPr>
          <w:rFonts w:ascii="Arial Narrow" w:hAnsi="Arial Narrow" w:cs="Arial Narrow"/>
        </w:rPr>
        <w:t>:</w:t>
      </w:r>
    </w:p>
    <w:p w:rsidR="0044429E" w:rsidRDefault="0044429E" w:rsidP="0044429E">
      <w:pPr>
        <w:pStyle w:val="Akapitzlist"/>
        <w:spacing w:after="0" w:line="240" w:lineRule="auto"/>
        <w:ind w:left="0"/>
        <w:jc w:val="both"/>
        <w:rPr>
          <w:rFonts w:ascii="Arial Narrow" w:hAnsi="Arial Narrow" w:cs="Arial Narrow"/>
        </w:rPr>
      </w:pPr>
      <w:r>
        <w:rPr>
          <w:rFonts w:ascii="Arial Narrow" w:hAnsi="Arial Narrow" w:cs="Arial Narrow"/>
        </w:rPr>
        <w:tab/>
        <w:t>a) opóźnianie przygotowania SIWZ dla nowego postępowania przetargowego,</w:t>
      </w:r>
    </w:p>
    <w:p w:rsidR="0044429E" w:rsidRDefault="0044429E" w:rsidP="0044429E">
      <w:pPr>
        <w:pStyle w:val="Akapitzlist"/>
        <w:spacing w:after="0" w:line="240" w:lineRule="auto"/>
        <w:ind w:left="0"/>
        <w:jc w:val="both"/>
        <w:rPr>
          <w:rFonts w:ascii="Arial Narrow" w:hAnsi="Arial Narrow" w:cs="Arial Narrow"/>
        </w:rPr>
      </w:pPr>
      <w:r>
        <w:rPr>
          <w:rFonts w:ascii="Arial Narrow" w:hAnsi="Arial Narrow" w:cs="Arial Narrow"/>
        </w:rPr>
        <w:tab/>
        <w:t>b) bezpodstawne opóźnianie terminu podpisania umowy,</w:t>
      </w:r>
    </w:p>
    <w:p w:rsidR="0044429E" w:rsidRDefault="0044429E" w:rsidP="0044429E">
      <w:pPr>
        <w:pStyle w:val="Akapitzlist"/>
        <w:spacing w:after="0" w:line="240" w:lineRule="auto"/>
        <w:ind w:left="0"/>
        <w:jc w:val="both"/>
        <w:rPr>
          <w:rFonts w:ascii="Arial Narrow" w:hAnsi="Arial Narrow" w:cs="Arial Narrow"/>
        </w:rPr>
      </w:pPr>
      <w:r>
        <w:rPr>
          <w:rFonts w:ascii="Arial Narrow" w:hAnsi="Arial Narrow" w:cs="Arial Narrow"/>
        </w:rPr>
        <w:tab/>
        <w:t>c) próba bezpodstawnego unieważnienia przetargu.</w:t>
      </w:r>
    </w:p>
    <w:p w:rsidR="0044429E" w:rsidRDefault="0044429E" w:rsidP="0044429E">
      <w:pPr>
        <w:spacing w:after="0" w:line="240" w:lineRule="auto"/>
        <w:jc w:val="both"/>
      </w:pPr>
      <w:r>
        <w:rPr>
          <w:rFonts w:ascii="Arial Narrow" w:hAnsi="Arial Narrow" w:cs="Arial Narrow"/>
        </w:rPr>
        <w:t xml:space="preserve">5) </w:t>
      </w:r>
      <w:r w:rsidRPr="002D2BC0">
        <w:rPr>
          <w:rFonts w:ascii="Arial Narrow" w:hAnsi="Arial Narrow" w:cs="Arial Narrow"/>
        </w:rPr>
        <w:t xml:space="preserve">decyzja o jednostronnym rozwiązaniu umowy z dniem 23 lutego 2013 r. z firmą organizującą obsługę ratowniczą, </w:t>
      </w:r>
      <w:r>
        <w:rPr>
          <w:rFonts w:ascii="Arial Narrow" w:hAnsi="Arial Narrow" w:cs="Arial Narrow"/>
        </w:rPr>
        <w:t xml:space="preserve">w następstwie której </w:t>
      </w:r>
      <w:r w:rsidRPr="002D2BC0">
        <w:rPr>
          <w:rFonts w:ascii="Arial Narrow" w:hAnsi="Arial Narrow" w:cs="Arial Narrow"/>
        </w:rPr>
        <w:t xml:space="preserve">kierujący </w:t>
      </w:r>
      <w:proofErr w:type="spellStart"/>
      <w:r w:rsidRPr="002D2BC0">
        <w:rPr>
          <w:rFonts w:ascii="Arial Narrow" w:hAnsi="Arial Narrow" w:cs="Arial Narrow"/>
        </w:rPr>
        <w:t>OSiR</w:t>
      </w:r>
      <w:proofErr w:type="spellEnd"/>
      <w:r w:rsidRPr="002D2BC0">
        <w:rPr>
          <w:rFonts w:ascii="Arial Narrow" w:hAnsi="Arial Narrow" w:cs="Arial Narrow"/>
        </w:rPr>
        <w:t xml:space="preserve"> podpisał na obsługę ratowniczą umowy zlecenia z osobami fizycznymi. Koszty poniesione przez </w:t>
      </w:r>
      <w:proofErr w:type="spellStart"/>
      <w:r w:rsidRPr="002D2BC0">
        <w:rPr>
          <w:rFonts w:ascii="Arial Narrow" w:hAnsi="Arial Narrow" w:cs="Arial Narrow"/>
        </w:rPr>
        <w:t>OSiR</w:t>
      </w:r>
      <w:proofErr w:type="spellEnd"/>
      <w:r w:rsidRPr="002D2BC0">
        <w:rPr>
          <w:rFonts w:ascii="Arial Narrow" w:hAnsi="Arial Narrow" w:cs="Arial Narrow"/>
        </w:rPr>
        <w:t xml:space="preserve"> w okresie od 23 lutego 2013 r. do 7 marca 2013 r. wyniosły 2.820 zł. W ocenie audytora zewnętrznego, decyzja kierującego </w:t>
      </w:r>
      <w:proofErr w:type="spellStart"/>
      <w:r w:rsidRPr="002D2BC0">
        <w:rPr>
          <w:rFonts w:ascii="Arial Narrow" w:hAnsi="Arial Narrow" w:cs="Arial Narrow"/>
        </w:rPr>
        <w:t>OSiR</w:t>
      </w:r>
      <w:proofErr w:type="spellEnd"/>
      <w:r w:rsidRPr="002D2BC0">
        <w:rPr>
          <w:rFonts w:ascii="Arial Narrow" w:hAnsi="Arial Narrow" w:cs="Arial Narrow"/>
        </w:rPr>
        <w:t xml:space="preserve"> o rozwiązaniu umowy na obsługę ratowniczą była bezwzględnie nieważna i stanowi zasadnicze naruszenie dyscypliny finansów publicznych. W efekcie dalszych działań podjętych przez p.o. dyrektora </w:t>
      </w:r>
      <w:proofErr w:type="spellStart"/>
      <w:r w:rsidRPr="002D2BC0">
        <w:rPr>
          <w:rFonts w:ascii="Arial Narrow" w:hAnsi="Arial Narrow" w:cs="Arial Narrow"/>
        </w:rPr>
        <w:t>OSiR</w:t>
      </w:r>
      <w:proofErr w:type="spellEnd"/>
      <w:r w:rsidRPr="002D2BC0">
        <w:rPr>
          <w:rFonts w:ascii="Arial Narrow" w:hAnsi="Arial Narrow" w:cs="Arial Narrow"/>
        </w:rPr>
        <w:t>, firma ponownie podjęła działalność na podstawie wygranego postępowania przetargowego oraz podpisanej 12 listopada 2013 r. umowy, a wynagrodzenia dla osób fizycznych zdublowały wynagrodzenie umowne firmy.</w:t>
      </w:r>
      <w:r>
        <w:t xml:space="preserve"> </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Opinia zlecającego Raport:</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Na tym przykładzie można prześledzić skumulowanie nieprawidłowości w </w:t>
      </w:r>
      <w:proofErr w:type="spellStart"/>
      <w:r>
        <w:rPr>
          <w:rFonts w:ascii="Arial Narrow" w:hAnsi="Arial Narrow" w:cs="Arial Narrow"/>
        </w:rPr>
        <w:t>OSiR</w:t>
      </w:r>
      <w:proofErr w:type="spellEnd"/>
      <w:r>
        <w:rPr>
          <w:rFonts w:ascii="Arial Narrow" w:hAnsi="Arial Narrow" w:cs="Arial Narrow"/>
        </w:rPr>
        <w:t>, polegających na:</w:t>
      </w:r>
    </w:p>
    <w:p w:rsidR="0044429E" w:rsidRDefault="0044429E" w:rsidP="0044429E">
      <w:pPr>
        <w:spacing w:after="0" w:line="240" w:lineRule="auto"/>
        <w:jc w:val="both"/>
        <w:rPr>
          <w:rFonts w:ascii="Arial Narrow" w:hAnsi="Arial Narrow" w:cs="Arial Narrow"/>
        </w:rPr>
      </w:pPr>
      <w:r>
        <w:rPr>
          <w:rFonts w:ascii="Arial Narrow" w:hAnsi="Arial Narrow" w:cs="Arial Narrow"/>
        </w:rPr>
        <w:t>- tolerowaniu braków formalnych w dokumentacjach przetargowych (pkt.1)</w:t>
      </w: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 nieprawidłowościach w  prowadzonej dokumentacji </w:t>
      </w:r>
      <w:proofErr w:type="spellStart"/>
      <w:r>
        <w:rPr>
          <w:rFonts w:ascii="Arial Narrow" w:hAnsi="Arial Narrow" w:cs="Arial Narrow"/>
        </w:rPr>
        <w:t>formalno–prawnej</w:t>
      </w:r>
      <w:proofErr w:type="spellEnd"/>
      <w:r>
        <w:rPr>
          <w:rFonts w:ascii="Arial Narrow" w:hAnsi="Arial Narrow" w:cs="Arial Narrow"/>
        </w:rPr>
        <w:t xml:space="preserve"> (pkt. 2)</w:t>
      </w:r>
    </w:p>
    <w:p w:rsidR="0044429E" w:rsidRDefault="0044429E" w:rsidP="0044429E">
      <w:pPr>
        <w:spacing w:after="0" w:line="240" w:lineRule="auto"/>
        <w:jc w:val="both"/>
        <w:rPr>
          <w:rFonts w:ascii="Arial Narrow" w:hAnsi="Arial Narrow" w:cs="Arial Narrow"/>
        </w:rPr>
      </w:pPr>
      <w:r>
        <w:rPr>
          <w:rFonts w:ascii="Arial Narrow" w:hAnsi="Arial Narrow" w:cs="Arial Narrow"/>
        </w:rPr>
        <w:t>- braku dbałości o zmniejszanie kosztów funkcjonowania obiektów – skutkujący bardzo niską efektywnością gospodarowania (pkt.3 i pkt.4)</w:t>
      </w:r>
    </w:p>
    <w:p w:rsidR="0044429E" w:rsidRDefault="0044429E" w:rsidP="0044429E">
      <w:pPr>
        <w:spacing w:after="0" w:line="240" w:lineRule="auto"/>
        <w:jc w:val="both"/>
        <w:rPr>
          <w:rFonts w:ascii="Arial Narrow" w:hAnsi="Arial Narrow" w:cs="Arial Narrow"/>
        </w:rPr>
      </w:pPr>
      <w:r>
        <w:rPr>
          <w:rFonts w:ascii="Arial Narrow" w:hAnsi="Arial Narrow" w:cs="Arial Narrow"/>
        </w:rPr>
        <w:t>- niejasności w stosowaniu procedur zamówień publicznych (pkt.4)</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Opisane działania świadczą nie tylko o nieprzestrzeganiu przepisów, ale też zostały ocenione bardzo negatywnie przez dyrektora Miejskiego Biura Przetargów, inspektora Wydziału Kontroli i audytora zewnętrznego, w tym część z nich jako zasadnicze naruszenie dyscypliny finansów publicznych.</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r>
        <w:rPr>
          <w:rFonts w:ascii="Arial Narrow" w:hAnsi="Arial Narrow" w:cs="Arial Narrow"/>
        </w:rPr>
        <w:t xml:space="preserve">Jednocześnie fakt, że działania kierującego </w:t>
      </w:r>
      <w:proofErr w:type="spellStart"/>
      <w:r>
        <w:rPr>
          <w:rFonts w:ascii="Arial Narrow" w:hAnsi="Arial Narrow" w:cs="Arial Narrow"/>
        </w:rPr>
        <w:t>OSiR</w:t>
      </w:r>
      <w:proofErr w:type="spellEnd"/>
      <w:r>
        <w:rPr>
          <w:rFonts w:ascii="Arial Narrow" w:hAnsi="Arial Narrow" w:cs="Arial Narrow"/>
        </w:rPr>
        <w:t xml:space="preserve"> wiązały się z korzyściami uzyskiwanymi przez wyłącznie jedną firmę, a niekorzystne działania dotyczyły jej konkurenta w postępowaniu przetargowym, pozwalają na domniemanie faworyzowania wyłącznie jednej firmy w przetargach na obsługę ratowniczą prowadzonych przez </w:t>
      </w:r>
      <w:proofErr w:type="spellStart"/>
      <w:r>
        <w:rPr>
          <w:rFonts w:ascii="Arial Narrow" w:hAnsi="Arial Narrow" w:cs="Arial Narrow"/>
        </w:rPr>
        <w:t>OSiR</w:t>
      </w:r>
      <w:proofErr w:type="spellEnd"/>
      <w:r>
        <w:rPr>
          <w:rFonts w:ascii="Arial Narrow" w:hAnsi="Arial Narrow" w:cs="Arial Narrow"/>
        </w:rPr>
        <w:t xml:space="preserve">. </w:t>
      </w:r>
    </w:p>
    <w:p w:rsidR="0044429E" w:rsidRDefault="0044429E" w:rsidP="0044429E">
      <w:pPr>
        <w:spacing w:after="0" w:line="240" w:lineRule="auto"/>
        <w:jc w:val="both"/>
        <w:rPr>
          <w:rFonts w:ascii="Arial Narrow" w:hAnsi="Arial Narrow" w:cs="Arial Narrow"/>
        </w:rPr>
      </w:pPr>
    </w:p>
    <w:p w:rsidR="0044429E" w:rsidRDefault="0044429E" w:rsidP="0044429E">
      <w:pPr>
        <w:spacing w:after="0" w:line="240" w:lineRule="auto"/>
        <w:jc w:val="both"/>
        <w:rPr>
          <w:rFonts w:ascii="Arial Narrow" w:hAnsi="Arial Narrow" w:cs="Arial Narrow"/>
        </w:rPr>
      </w:pPr>
    </w:p>
    <w:p w:rsidR="00564EE1" w:rsidRDefault="00564EE1"/>
    <w:sectPr w:rsidR="00564EE1" w:rsidSect="00564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1876"/>
    <w:multiLevelType w:val="hybridMultilevel"/>
    <w:tmpl w:val="D01C4628"/>
    <w:lvl w:ilvl="0" w:tplc="3F1C9EB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4429E"/>
    <w:rsid w:val="0044429E"/>
    <w:rsid w:val="00564E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29E"/>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4429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9324</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L62</dc:creator>
  <cp:lastModifiedBy>L62</cp:lastModifiedBy>
  <cp:revision>1</cp:revision>
  <dcterms:created xsi:type="dcterms:W3CDTF">2013-05-31T11:58:00Z</dcterms:created>
  <dcterms:modified xsi:type="dcterms:W3CDTF">2013-05-31T11:58:00Z</dcterms:modified>
</cp:coreProperties>
</file>